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УИД: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0023-01-202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1688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№ 5-</w:t>
      </w:r>
      <w:r>
        <w:rPr>
          <w:rFonts w:ascii="Times New Roman" w:eastAsia="Times New Roman" w:hAnsi="Times New Roman" w:cs="Times New Roman"/>
          <w:sz w:val="26"/>
          <w:szCs w:val="26"/>
        </w:rPr>
        <w:t>374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Покачи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участи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Добрынь П.В.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Добрынь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Петра Васильевича </w:t>
      </w:r>
      <w:r>
        <w:rPr>
          <w:rStyle w:val="cat-PassportDatagrp-25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</w:t>
      </w:r>
      <w:r>
        <w:rPr>
          <w:rFonts w:ascii="Times New Roman" w:eastAsia="Times New Roman" w:hAnsi="Times New Roman" w:cs="Times New Roman"/>
          <w:sz w:val="26"/>
          <w:szCs w:val="26"/>
        </w:rPr>
        <w:t>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по адресу: ХМАО-Югра, </w:t>
      </w:r>
      <w:r>
        <w:rPr>
          <w:rStyle w:val="cat-Addressgrp-2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привлекаемого к административной ответственности за совершение административного правонарушения, предусмотренного частью 1 статьей 20.25 Кодекса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административных правонарушениях (далее по тексту КоАП РФ), ранее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совершение однородных правонарушений,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Добрынь П.В.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час. 01 мин. по адресу ХМАО-Югра </w:t>
      </w:r>
      <w:r>
        <w:rPr>
          <w:rStyle w:val="cat-Addressgrp-3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будучи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привлеченным </w:t>
      </w:r>
      <w:r>
        <w:rPr>
          <w:rFonts w:ascii="Times New Roman" w:eastAsia="Times New Roman" w:hAnsi="Times New Roman" w:cs="Times New Roman"/>
          <w:sz w:val="26"/>
          <w:szCs w:val="26"/>
        </w:rPr>
        <w:t>18 января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к административной ответственности по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к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достоверно зная о наложенном административном наказании, не уплатил административный штраф, наложенный на него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ЦАФАП ОДД ГИБДД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МВД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>ХМАО - 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Добрынь П.В.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явился, о дате и времени провед</w:t>
      </w:r>
      <w:r>
        <w:rPr>
          <w:rFonts w:ascii="Times New Roman" w:eastAsia="Times New Roman" w:hAnsi="Times New Roman" w:cs="Times New Roman"/>
          <w:sz w:val="26"/>
          <w:szCs w:val="26"/>
        </w:rPr>
        <w:t>ения судебного заседания извещ</w:t>
      </w:r>
      <w:r>
        <w:rPr>
          <w:rFonts w:ascii="Times New Roman" w:eastAsia="Times New Roman" w:hAnsi="Times New Roman" w:cs="Times New Roman"/>
          <w:sz w:val="26"/>
          <w:szCs w:val="26"/>
        </w:rPr>
        <w:t>ен надлежащим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ходатайство об отложении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заседания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Добрынь П.В. </w:t>
      </w:r>
      <w:r>
        <w:rPr>
          <w:rFonts w:ascii="Times New Roman" w:eastAsia="Times New Roman" w:hAnsi="Times New Roman" w:cs="Times New Roman"/>
          <w:sz w:val="26"/>
          <w:szCs w:val="26"/>
        </w:rPr>
        <w:t>и причастность его к совершению правонарушения в полном объёме подтверждается совокупностью представленных материалов: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18810886240920036270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 мая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составленном в соответствии с требованиями ст. ст. 28.2-28.3 КоАП РФ;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ЦАФАП ОДД ГИБДД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МВД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>ХМАО - 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18810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86240118013314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18 января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которым лицо, привлекаемое к административной ответственности, подвергнуто к административному штрафу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рублей.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30 января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т.е. последним днем уплаты штрафа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1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в судебном заседании исследованы: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-отчет об отслеживании почтового отправления;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-карточка учёта транспортного сред</w:t>
      </w:r>
      <w:r>
        <w:rPr>
          <w:rFonts w:ascii="Times New Roman" w:eastAsia="Times New Roman" w:hAnsi="Times New Roman" w:cs="Times New Roman"/>
          <w:sz w:val="26"/>
          <w:szCs w:val="26"/>
        </w:rPr>
        <w:t>ства;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-сведения о привлечении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ответственности по гл. 12 КоА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РФ;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водительск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удостоверени</w:t>
      </w:r>
      <w:r>
        <w:rPr>
          <w:rFonts w:ascii="Times New Roman" w:eastAsia="Times New Roman" w:hAnsi="Times New Roman" w:cs="Times New Roman"/>
          <w:sz w:val="26"/>
          <w:szCs w:val="26"/>
        </w:rPr>
        <w:t>я.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Добрынь П.В.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Представленная в материалы дела выписка из программного обеспечения ГИС ГМП подтверждает </w:t>
      </w:r>
      <w:r>
        <w:rPr>
          <w:rFonts w:ascii="Times New Roman" w:eastAsia="Times New Roman" w:hAnsi="Times New Roman" w:cs="Times New Roman"/>
          <w:sz w:val="26"/>
          <w:szCs w:val="26"/>
        </w:rPr>
        <w:t>неуплату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копе</w:t>
      </w:r>
      <w:r>
        <w:rPr>
          <w:rFonts w:ascii="Times New Roman" w:eastAsia="Times New Roman" w:hAnsi="Times New Roman" w:cs="Times New Roman"/>
          <w:sz w:val="26"/>
          <w:szCs w:val="26"/>
        </w:rPr>
        <w:t>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 до </w:t>
      </w:r>
      <w:r>
        <w:rPr>
          <w:rFonts w:ascii="Times New Roman" w:eastAsia="Times New Roman" w:hAnsi="Times New Roman" w:cs="Times New Roman"/>
          <w:sz w:val="26"/>
          <w:szCs w:val="26"/>
        </w:rPr>
        <w:t>9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Добрынь П.В.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Учитывая характер совершенного правонарушения, отсутствие обстоятельств, смягчающих административную ответственность, предусмотренных ст. 4.2 КоАП РФ, обстоятельств, отягчающ</w:t>
      </w:r>
      <w:r>
        <w:rPr>
          <w:rFonts w:ascii="Times New Roman" w:eastAsia="Times New Roman" w:hAnsi="Times New Roman" w:cs="Times New Roman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4.3 КоАП РФ, учитывая,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Добрынь П.В.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административный штраф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Добрынь П.В.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 ст. 29.9-29.11 КоАП РФ, мировой судья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9"/>
        <w:rPr>
          <w:sz w:val="26"/>
          <w:szCs w:val="26"/>
        </w:rPr>
      </w:pPr>
    </w:p>
    <w:p>
      <w:pPr>
        <w:spacing w:before="0" w:after="0" w:line="233" w:lineRule="auto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Добрынь </w:t>
      </w:r>
      <w:r>
        <w:rPr>
          <w:rFonts w:ascii="Times New Roman" w:eastAsia="Times New Roman" w:hAnsi="Times New Roman" w:cs="Times New Roman"/>
          <w:sz w:val="26"/>
          <w:szCs w:val="26"/>
        </w:rPr>
        <w:t>Петра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Васильевича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одна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номер счета получателя: 03100643000000018700,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0412365400235003742420151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КБК 72</w:t>
      </w:r>
      <w:r>
        <w:rPr>
          <w:rFonts w:ascii="Times New Roman" w:eastAsia="Times New Roman" w:hAnsi="Times New Roman" w:cs="Times New Roman"/>
          <w:sz w:val="26"/>
          <w:szCs w:val="26"/>
        </w:rPr>
        <w:t>011601203019000140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ОКТМО 71884000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>-код для оплаты административного штрафа.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Информация для плательщика по </w:t>
      </w: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-код.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оплате административного штрафа подлежат самостоятельному заполнению следующие позиции: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назначение платежа (оплата административного штрафа);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уникальный идентификационный номер (</w:t>
      </w:r>
      <w:r>
        <w:rPr>
          <w:rFonts w:ascii="Times New Roman" w:eastAsia="Times New Roman" w:hAnsi="Times New Roman" w:cs="Times New Roman"/>
          <w:sz w:val="26"/>
          <w:szCs w:val="26"/>
        </w:rPr>
        <w:t>0412365400235003742420151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ОКТМО (71884000);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код бюджетной классификации (72</w:t>
      </w:r>
      <w:r>
        <w:rPr>
          <w:rFonts w:ascii="Times New Roman" w:eastAsia="Times New Roman" w:hAnsi="Times New Roman" w:cs="Times New Roman"/>
          <w:sz w:val="26"/>
          <w:szCs w:val="26"/>
        </w:rPr>
        <w:t>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наименование документа основания (№ 5-</w:t>
      </w:r>
      <w:r>
        <w:rPr>
          <w:rFonts w:ascii="Times New Roman" w:eastAsia="Times New Roman" w:hAnsi="Times New Roman" w:cs="Times New Roman"/>
          <w:sz w:val="26"/>
          <w:szCs w:val="26"/>
        </w:rPr>
        <w:t>374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сумму административного штрафа (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рублей 00 копеек).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судья: подпись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Г.Х. Янбаева</w:t>
      </w: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Постановление не вступило в законную силу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верна: подлинный документ находится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 судебном участке № 1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 5-</w:t>
      </w:r>
      <w:r>
        <w:rPr>
          <w:rFonts w:ascii="Times New Roman" w:eastAsia="Times New Roman" w:hAnsi="Times New Roman" w:cs="Times New Roman"/>
          <w:sz w:val="16"/>
          <w:szCs w:val="16"/>
        </w:rPr>
        <w:t>374</w:t>
      </w:r>
      <w:r>
        <w:rPr>
          <w:rFonts w:ascii="Times New Roman" w:eastAsia="Times New Roman" w:hAnsi="Times New Roman" w:cs="Times New Roman"/>
          <w:sz w:val="16"/>
          <w:szCs w:val="16"/>
        </w:rPr>
        <w:t>-2301/202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___________________ Н.В. </w:t>
      </w:r>
      <w:r>
        <w:rPr>
          <w:rFonts w:ascii="Times New Roman" w:eastAsia="Times New Roman" w:hAnsi="Times New Roman" w:cs="Times New Roman"/>
          <w:sz w:val="16"/>
          <w:szCs w:val="16"/>
        </w:rPr>
        <w:t>Морару</w:t>
      </w:r>
    </w:p>
    <w:p>
      <w:pPr>
        <w:spacing w:before="0" w:after="0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3">
    <w:name w:val="cat-Address grp-3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